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59ACBA" w14:textId="5FF4B277" w:rsidR="00AF76E5" w:rsidRDefault="00AF76E5" w:rsidP="00AF76E5">
      <w:pPr>
        <w:jc w:val="both"/>
        <w:rPr>
          <w:rFonts w:ascii="Times New Roman" w:hAnsi="Times New Roman" w:cs="Times New Roman"/>
          <w:b/>
          <w:bCs/>
        </w:rPr>
      </w:pPr>
      <w:r>
        <w:rPr>
          <w:rFonts w:ascii="Times New Roman" w:hAnsi="Times New Roman" w:cs="Times New Roman"/>
          <w:b/>
          <w:bCs/>
        </w:rPr>
        <w:fldChar w:fldCharType="begin"/>
      </w:r>
      <w:r>
        <w:rPr>
          <w:rFonts w:ascii="Times New Roman" w:hAnsi="Times New Roman" w:cs="Times New Roman"/>
          <w:b/>
          <w:bCs/>
        </w:rPr>
        <w:instrText>HYPERLINK "</w:instrText>
      </w:r>
      <w:r w:rsidRPr="00AF76E5">
        <w:rPr>
          <w:rFonts w:ascii="Times New Roman" w:hAnsi="Times New Roman" w:cs="Times New Roman"/>
          <w:b/>
          <w:bCs/>
        </w:rPr>
        <w:instrText>https://kli-ks.org/publikohet-raporti-aplikimi-i-jurisprudences-se-gjednj-se-ne-kosove/</w:instrText>
      </w:r>
      <w:r>
        <w:rPr>
          <w:rFonts w:ascii="Times New Roman" w:hAnsi="Times New Roman" w:cs="Times New Roman"/>
          <w:b/>
          <w:bCs/>
        </w:rPr>
        <w:instrText>"</w:instrText>
      </w:r>
      <w:r>
        <w:rPr>
          <w:rFonts w:ascii="Times New Roman" w:hAnsi="Times New Roman" w:cs="Times New Roman"/>
          <w:b/>
          <w:bCs/>
        </w:rPr>
        <w:fldChar w:fldCharType="separate"/>
      </w:r>
      <w:r w:rsidRPr="002F4CF7">
        <w:rPr>
          <w:rStyle w:val="Hyperlink"/>
          <w:rFonts w:ascii="Times New Roman" w:hAnsi="Times New Roman" w:cs="Times New Roman"/>
          <w:b/>
          <w:bCs/>
        </w:rPr>
        <w:t>https://kli-ks.org/publikohet-raporti-aplikimi-i-jurisprudences-se-gjednj-se-ne-kosove/</w:t>
      </w:r>
      <w:r>
        <w:rPr>
          <w:rFonts w:ascii="Times New Roman" w:hAnsi="Times New Roman" w:cs="Times New Roman"/>
          <w:b/>
          <w:bCs/>
        </w:rPr>
        <w:fldChar w:fldCharType="end"/>
      </w:r>
      <w:r>
        <w:rPr>
          <w:rFonts w:ascii="Times New Roman" w:hAnsi="Times New Roman" w:cs="Times New Roman"/>
          <w:b/>
          <w:bCs/>
        </w:rPr>
        <w:t xml:space="preserve"> </w:t>
      </w:r>
    </w:p>
    <w:p w14:paraId="11F49291" w14:textId="1C205496" w:rsidR="00AF76E5" w:rsidRPr="00AF76E5" w:rsidRDefault="00AF76E5" w:rsidP="00AF76E5">
      <w:pPr>
        <w:jc w:val="both"/>
        <w:rPr>
          <w:rFonts w:ascii="Times New Roman" w:hAnsi="Times New Roman" w:cs="Times New Roman"/>
          <w:b/>
          <w:bCs/>
        </w:rPr>
      </w:pPr>
      <w:r w:rsidRPr="00AF76E5">
        <w:rPr>
          <w:rFonts w:ascii="Times New Roman" w:hAnsi="Times New Roman" w:cs="Times New Roman"/>
          <w:b/>
          <w:bCs/>
        </w:rPr>
        <w:t>Published report</w:t>
      </w:r>
      <w:r w:rsidRPr="00AF76E5">
        <w:rPr>
          <w:rFonts w:ascii="Times New Roman" w:hAnsi="Times New Roman" w:cs="Times New Roman"/>
          <w:b/>
          <w:bCs/>
        </w:rPr>
        <w:t>: “The Application of ECtHR Jurisprudence in Kosovo”</w:t>
      </w:r>
    </w:p>
    <w:p w14:paraId="22D4F591"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b/>
          <w:bCs/>
        </w:rPr>
        <w:t>Pristina, 28 May 2025</w:t>
      </w:r>
      <w:r w:rsidRPr="00AF76E5">
        <w:rPr>
          <w:rFonts w:ascii="Times New Roman" w:hAnsi="Times New Roman" w:cs="Times New Roman"/>
        </w:rPr>
        <w:t xml:space="preserve"> – The Kosovo Law Institute (KLI), </w:t>
      </w:r>
      <w:proofErr w:type="spellStart"/>
      <w:r w:rsidRPr="00AF76E5">
        <w:rPr>
          <w:rFonts w:ascii="Times New Roman" w:hAnsi="Times New Roman" w:cs="Times New Roman"/>
        </w:rPr>
        <w:t>Levizja</w:t>
      </w:r>
      <w:proofErr w:type="spellEnd"/>
      <w:r w:rsidRPr="00AF76E5">
        <w:rPr>
          <w:rFonts w:ascii="Times New Roman" w:hAnsi="Times New Roman" w:cs="Times New Roman"/>
        </w:rPr>
        <w:t xml:space="preserve"> FOL, and Initiative for Progress (INPO), with the support of the German Embassy in Pristina, organized a roundtable discussion to present the report: “The Application of ECtHR Jurisprudence in Kosovo.”</w:t>
      </w:r>
    </w:p>
    <w:p w14:paraId="5EDD7F09"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rPr>
        <w:t xml:space="preserve">The event brought together the German Ambassador to Kosovo, </w:t>
      </w:r>
      <w:r w:rsidRPr="00AF76E5">
        <w:rPr>
          <w:rFonts w:ascii="Times New Roman" w:hAnsi="Times New Roman" w:cs="Times New Roman"/>
          <w:i/>
          <w:iCs/>
        </w:rPr>
        <w:t>Joern Rohde</w:t>
      </w:r>
      <w:r w:rsidRPr="00AF76E5">
        <w:rPr>
          <w:rFonts w:ascii="Times New Roman" w:hAnsi="Times New Roman" w:cs="Times New Roman"/>
        </w:rPr>
        <w:t xml:space="preserve">; the President of the Supreme Court, </w:t>
      </w:r>
      <w:proofErr w:type="spellStart"/>
      <w:r w:rsidRPr="00AF76E5">
        <w:rPr>
          <w:rFonts w:ascii="Times New Roman" w:hAnsi="Times New Roman" w:cs="Times New Roman"/>
          <w:i/>
          <w:iCs/>
        </w:rPr>
        <w:t>Fejzullah</w:t>
      </w:r>
      <w:proofErr w:type="spellEnd"/>
      <w:r w:rsidRPr="00AF76E5">
        <w:rPr>
          <w:rFonts w:ascii="Times New Roman" w:hAnsi="Times New Roman" w:cs="Times New Roman"/>
          <w:i/>
          <w:iCs/>
        </w:rPr>
        <w:t xml:space="preserve"> Rexhepi</w:t>
      </w:r>
      <w:r w:rsidRPr="00AF76E5">
        <w:rPr>
          <w:rFonts w:ascii="Times New Roman" w:hAnsi="Times New Roman" w:cs="Times New Roman"/>
        </w:rPr>
        <w:t xml:space="preserve">; the Acting Chief State Prosecutor, </w:t>
      </w:r>
      <w:r w:rsidRPr="00AF76E5">
        <w:rPr>
          <w:rFonts w:ascii="Times New Roman" w:hAnsi="Times New Roman" w:cs="Times New Roman"/>
          <w:i/>
          <w:iCs/>
        </w:rPr>
        <w:t>Besim Kelmendi</w:t>
      </w:r>
      <w:r w:rsidRPr="00AF76E5">
        <w:rPr>
          <w:rFonts w:ascii="Times New Roman" w:hAnsi="Times New Roman" w:cs="Times New Roman"/>
        </w:rPr>
        <w:t xml:space="preserve">; the Ombudsperson, </w:t>
      </w:r>
      <w:r w:rsidRPr="00AF76E5">
        <w:rPr>
          <w:rFonts w:ascii="Times New Roman" w:hAnsi="Times New Roman" w:cs="Times New Roman"/>
          <w:i/>
          <w:iCs/>
        </w:rPr>
        <w:t>Naim Qelaj</w:t>
      </w:r>
      <w:r w:rsidRPr="00AF76E5">
        <w:rPr>
          <w:rFonts w:ascii="Times New Roman" w:hAnsi="Times New Roman" w:cs="Times New Roman"/>
        </w:rPr>
        <w:t>; representatives of EU institutions in Kosovo; and members of the justice sector and civil society.</w:t>
      </w:r>
    </w:p>
    <w:p w14:paraId="725F616C"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rPr>
        <w:t xml:space="preserve">The roundtable was opened by </w:t>
      </w:r>
      <w:proofErr w:type="spellStart"/>
      <w:r w:rsidRPr="00AF76E5">
        <w:rPr>
          <w:rFonts w:ascii="Times New Roman" w:hAnsi="Times New Roman" w:cs="Times New Roman"/>
          <w:i/>
          <w:iCs/>
        </w:rPr>
        <w:t>Ehat</w:t>
      </w:r>
      <w:proofErr w:type="spellEnd"/>
      <w:r w:rsidRPr="00AF76E5">
        <w:rPr>
          <w:rFonts w:ascii="Times New Roman" w:hAnsi="Times New Roman" w:cs="Times New Roman"/>
          <w:i/>
          <w:iCs/>
        </w:rPr>
        <w:t xml:space="preserve"> Miftaraj</w:t>
      </w:r>
      <w:r w:rsidRPr="00AF76E5">
        <w:rPr>
          <w:rFonts w:ascii="Times New Roman" w:hAnsi="Times New Roman" w:cs="Times New Roman"/>
        </w:rPr>
        <w:t xml:space="preserve">, Executive Director of KLI, and </w:t>
      </w:r>
      <w:r w:rsidRPr="00AF76E5">
        <w:rPr>
          <w:rFonts w:ascii="Times New Roman" w:hAnsi="Times New Roman" w:cs="Times New Roman"/>
          <w:i/>
          <w:iCs/>
        </w:rPr>
        <w:t>Ambassador Joern Rohde</w:t>
      </w:r>
      <w:r w:rsidRPr="00AF76E5">
        <w:rPr>
          <w:rFonts w:ascii="Times New Roman" w:hAnsi="Times New Roman" w:cs="Times New Roman"/>
        </w:rPr>
        <w:t>.</w:t>
      </w:r>
    </w:p>
    <w:p w14:paraId="5BAE4A6C" w14:textId="2EC9D3E8" w:rsidR="00AF76E5" w:rsidRPr="00AF76E5" w:rsidRDefault="00AF76E5" w:rsidP="00AF76E5">
      <w:pPr>
        <w:jc w:val="both"/>
        <w:rPr>
          <w:rFonts w:ascii="Times New Roman" w:hAnsi="Times New Roman" w:cs="Times New Roman"/>
        </w:rPr>
      </w:pPr>
      <w:r w:rsidRPr="00AF76E5">
        <w:rPr>
          <w:rFonts w:ascii="Times New Roman" w:hAnsi="Times New Roman" w:cs="Times New Roman"/>
        </w:rPr>
        <w:t xml:space="preserve">Director </w:t>
      </w:r>
      <w:proofErr w:type="spellStart"/>
      <w:r w:rsidRPr="00AF76E5">
        <w:rPr>
          <w:rFonts w:ascii="Times New Roman" w:hAnsi="Times New Roman" w:cs="Times New Roman"/>
        </w:rPr>
        <w:t>Miftaraj</w:t>
      </w:r>
      <w:proofErr w:type="spellEnd"/>
      <w:r w:rsidRPr="00AF76E5">
        <w:rPr>
          <w:rFonts w:ascii="Times New Roman" w:hAnsi="Times New Roman" w:cs="Times New Roman"/>
        </w:rPr>
        <w:t xml:space="preserve"> emphasized the importance of Kosovo’s potential membership in the Council of Europe, stating:</w:t>
      </w:r>
      <w:r w:rsidR="00A7048F">
        <w:rPr>
          <w:rFonts w:ascii="Times New Roman" w:hAnsi="Times New Roman" w:cs="Times New Roman"/>
        </w:rPr>
        <w:t xml:space="preserve"> </w:t>
      </w:r>
      <w:r w:rsidRPr="00AF76E5">
        <w:rPr>
          <w:rFonts w:ascii="Times New Roman" w:hAnsi="Times New Roman" w:cs="Times New Roman"/>
        </w:rPr>
        <w:t>“I have stressed that if Kosovo were to join the Council of Europe, we would have the opportunity—within the first year of membership, provided we have constituted institutions such as the Assembly and Government—to ratify and submit dozens of conventions to the Council of Europe,” he said.</w:t>
      </w:r>
    </w:p>
    <w:p w14:paraId="4869F8A3"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rPr>
        <w:t>According to Miftaraj, a promotional video and the report outlining the benefits of Kosovo’s accession to the Council of Europe will be shared with the Prime Minister, members of parliament, and ministers.</w:t>
      </w:r>
    </w:p>
    <w:p w14:paraId="2474522B"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rPr>
        <w:t xml:space="preserve">German Ambassador </w:t>
      </w:r>
      <w:r w:rsidRPr="00AF76E5">
        <w:rPr>
          <w:rFonts w:ascii="Times New Roman" w:hAnsi="Times New Roman" w:cs="Times New Roman"/>
          <w:i/>
          <w:iCs/>
        </w:rPr>
        <w:t>Joern Rohde</w:t>
      </w:r>
      <w:r w:rsidRPr="00AF76E5">
        <w:rPr>
          <w:rFonts w:ascii="Times New Roman" w:hAnsi="Times New Roman" w:cs="Times New Roman"/>
        </w:rPr>
        <w:t>, expressing his satisfaction with the discussion, said the report provides valuable insights regarding judges’ reference to the European Convention on Human Rights (ECHR):</w:t>
      </w:r>
    </w:p>
    <w:p w14:paraId="1D810401"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rPr>
        <w:t>“Only 13% of cases refer to the Convention, and with proceedings lasting on average three and a half years, this exceeds what is considered a reasonable time under the Convention,” Rohde stated.</w:t>
      </w:r>
    </w:p>
    <w:p w14:paraId="79835FAB"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rPr>
        <w:t>The Ambassador also urged Kosovo’s institutions to meet their obligations concerning the dialogue and the establishment of the Association of Serb-Majority Municipalities.</w:t>
      </w:r>
    </w:p>
    <w:p w14:paraId="3FFA2400" w14:textId="77777777" w:rsidR="00AF76E5" w:rsidRPr="00AF76E5" w:rsidRDefault="00AF76E5" w:rsidP="00AF76E5">
      <w:pPr>
        <w:jc w:val="both"/>
        <w:rPr>
          <w:rFonts w:ascii="Times New Roman" w:hAnsi="Times New Roman" w:cs="Times New Roman"/>
        </w:rPr>
      </w:pPr>
      <w:proofErr w:type="spellStart"/>
      <w:r w:rsidRPr="00AF76E5">
        <w:rPr>
          <w:rFonts w:ascii="Times New Roman" w:hAnsi="Times New Roman" w:cs="Times New Roman"/>
          <w:i/>
          <w:iCs/>
        </w:rPr>
        <w:t>Fejzullah</w:t>
      </w:r>
      <w:proofErr w:type="spellEnd"/>
      <w:r w:rsidRPr="00AF76E5">
        <w:rPr>
          <w:rFonts w:ascii="Times New Roman" w:hAnsi="Times New Roman" w:cs="Times New Roman"/>
          <w:i/>
          <w:iCs/>
        </w:rPr>
        <w:t xml:space="preserve"> Rexhepi</w:t>
      </w:r>
      <w:r w:rsidRPr="00AF76E5">
        <w:rPr>
          <w:rFonts w:ascii="Times New Roman" w:hAnsi="Times New Roman" w:cs="Times New Roman"/>
        </w:rPr>
        <w:t>, President of the Supreme Court, acknowledged that while the justice system is not in its best condition, it has reached a stage where judicial maturity is required:</w:t>
      </w:r>
    </w:p>
    <w:p w14:paraId="7A43D7A8" w14:textId="2586321D" w:rsidR="00AF76E5" w:rsidRPr="00AF76E5" w:rsidRDefault="00AF76E5" w:rsidP="00AF76E5">
      <w:pPr>
        <w:jc w:val="both"/>
        <w:rPr>
          <w:rFonts w:ascii="Times New Roman" w:hAnsi="Times New Roman" w:cs="Times New Roman"/>
        </w:rPr>
      </w:pPr>
      <w:r w:rsidRPr="00AF76E5">
        <w:rPr>
          <w:rFonts w:ascii="Times New Roman" w:hAnsi="Times New Roman" w:cs="Times New Roman"/>
        </w:rPr>
        <w:t>“</w:t>
      </w:r>
      <w:r w:rsidR="00A7048F" w:rsidRPr="00A7048F">
        <w:rPr>
          <w:rFonts w:ascii="Times New Roman" w:hAnsi="Times New Roman" w:cs="Times New Roman"/>
        </w:rPr>
        <w:t>The system is not in its best condition, but it has reached a stage where it needs maturity. By maturity, I mean that judges must focus on decision-making and the full implementation of human rights and freedoms — meaning they must not issue decisions that contradict the practices of the ECtHR</w:t>
      </w:r>
      <w:r w:rsidRPr="00AF76E5">
        <w:rPr>
          <w:rFonts w:ascii="Times New Roman" w:hAnsi="Times New Roman" w:cs="Times New Roman"/>
        </w:rPr>
        <w:t>,” Rexhepi said.</w:t>
      </w:r>
    </w:p>
    <w:p w14:paraId="17B54910"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rPr>
        <w:lastRenderedPageBreak/>
        <w:t xml:space="preserve">Acting Chief State Prosecutor </w:t>
      </w:r>
      <w:r w:rsidRPr="00AF76E5">
        <w:rPr>
          <w:rFonts w:ascii="Times New Roman" w:hAnsi="Times New Roman" w:cs="Times New Roman"/>
          <w:i/>
          <w:iCs/>
        </w:rPr>
        <w:t>Besim Kelmendi</w:t>
      </w:r>
      <w:r w:rsidRPr="00AF76E5">
        <w:rPr>
          <w:rFonts w:ascii="Times New Roman" w:hAnsi="Times New Roman" w:cs="Times New Roman"/>
        </w:rPr>
        <w:t xml:space="preserve"> addressed one of the report’s key findings—ensuring trials within a reasonable time frame. He noted that the 2022 Criminal Procedure Code introduced strict deadlines for prosecution and courts:</w:t>
      </w:r>
    </w:p>
    <w:p w14:paraId="20C09633"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rPr>
        <w:t>“We immediately worked to change the approach of prosecution offices in line with these deadlines,” Kelmendi said, adding that he issued a binding instruction to ensure compliance.</w:t>
      </w:r>
    </w:p>
    <w:p w14:paraId="174EDC86"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rPr>
        <w:t xml:space="preserve">Ombudsperson </w:t>
      </w:r>
      <w:r w:rsidRPr="00AF76E5">
        <w:rPr>
          <w:rFonts w:ascii="Times New Roman" w:hAnsi="Times New Roman" w:cs="Times New Roman"/>
          <w:i/>
          <w:iCs/>
        </w:rPr>
        <w:t>Naim Qelaj</w:t>
      </w:r>
      <w:r w:rsidRPr="00AF76E5">
        <w:rPr>
          <w:rFonts w:ascii="Times New Roman" w:hAnsi="Times New Roman" w:cs="Times New Roman"/>
        </w:rPr>
        <w:t xml:space="preserve"> pointed out that prosecutors and police in many cases act contrary to ECtHR practices by limiting suspects’ right to communicate with their lawyers during questioning or investigation stages:</w:t>
      </w:r>
    </w:p>
    <w:p w14:paraId="476ECAC9"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rPr>
        <w:t>“We have observed that in many cases, prosecutors and the police restrict the suspect’s right to consult with counsel, which contradicts ECtHR standards,” Qelaj emphasized.</w:t>
      </w:r>
    </w:p>
    <w:p w14:paraId="00664D27"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rPr>
        <w:t xml:space="preserve">The report was presented by </w:t>
      </w:r>
      <w:r w:rsidRPr="00AF76E5">
        <w:rPr>
          <w:rFonts w:ascii="Times New Roman" w:hAnsi="Times New Roman" w:cs="Times New Roman"/>
          <w:i/>
          <w:iCs/>
        </w:rPr>
        <w:t>Gzim Shala</w:t>
      </w:r>
      <w:r w:rsidRPr="00AF76E5">
        <w:rPr>
          <w:rFonts w:ascii="Times New Roman" w:hAnsi="Times New Roman" w:cs="Times New Roman"/>
        </w:rPr>
        <w:t>, Senior Researcher at KLI, who explained that the findings were based on monitoring 100 court sessions and analyzing 200 judicial decisions. The results indicate a low level of application of ECtHR jurisprudence in Kosovo’s courts.</w:t>
      </w:r>
    </w:p>
    <w:p w14:paraId="6FAA7342"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rPr>
        <w:t>According to the report, ECtHR jurisprudence was referenced in only one civil and one criminal case during monitored sessions, both cited by judges. In judicial decisions, ECtHR jurisprudence appeared most frequently in civil cases (18.7%), followed by administrative (10%) and criminal cases (8.7%).</w:t>
      </w:r>
    </w:p>
    <w:p w14:paraId="79149D9D" w14:textId="77777777" w:rsidR="00AF76E5" w:rsidRPr="00AF76E5" w:rsidRDefault="00AF76E5" w:rsidP="00AF76E5">
      <w:pPr>
        <w:jc w:val="both"/>
        <w:rPr>
          <w:rFonts w:ascii="Times New Roman" w:hAnsi="Times New Roman" w:cs="Times New Roman"/>
        </w:rPr>
      </w:pPr>
      <w:r w:rsidRPr="00AF76E5">
        <w:rPr>
          <w:rFonts w:ascii="Times New Roman" w:hAnsi="Times New Roman" w:cs="Times New Roman"/>
        </w:rPr>
        <w:t>This roundtable was held within the framework of the project “Preparing Kosovo’s Institutions for the Implementation of the European Court of Human Rights Jurisprudence”, funded by the German Embassy in Pristina.</w:t>
      </w:r>
    </w:p>
    <w:p w14:paraId="2B779FC1" w14:textId="77777777" w:rsidR="00AF76E5" w:rsidRPr="00AF76E5" w:rsidRDefault="00AF76E5" w:rsidP="00AF76E5">
      <w:pPr>
        <w:jc w:val="both"/>
        <w:rPr>
          <w:rFonts w:ascii="Times New Roman" w:hAnsi="Times New Roman" w:cs="Times New Roman"/>
        </w:rPr>
      </w:pPr>
    </w:p>
    <w:sectPr w:rsidR="00AF76E5" w:rsidRPr="00AF76E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6E5"/>
    <w:rsid w:val="00A7048F"/>
    <w:rsid w:val="00AF76E5"/>
    <w:rsid w:val="00C446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25AB4"/>
  <w15:chartTrackingRefBased/>
  <w15:docId w15:val="{D104D403-74E5-4D57-9C6C-C96775F41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F76E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F76E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F76E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F76E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F76E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F76E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F76E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F76E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F76E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76E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F76E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F76E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F76E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F76E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F76E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F76E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F76E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F76E5"/>
    <w:rPr>
      <w:rFonts w:eastAsiaTheme="majorEastAsia" w:cstheme="majorBidi"/>
      <w:color w:val="272727" w:themeColor="text1" w:themeTint="D8"/>
    </w:rPr>
  </w:style>
  <w:style w:type="paragraph" w:styleId="Title">
    <w:name w:val="Title"/>
    <w:basedOn w:val="Normal"/>
    <w:next w:val="Normal"/>
    <w:link w:val="TitleChar"/>
    <w:uiPriority w:val="10"/>
    <w:qFormat/>
    <w:rsid w:val="00AF76E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F76E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F76E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F76E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F76E5"/>
    <w:pPr>
      <w:spacing w:before="160"/>
      <w:jc w:val="center"/>
    </w:pPr>
    <w:rPr>
      <w:i/>
      <w:iCs/>
      <w:color w:val="404040" w:themeColor="text1" w:themeTint="BF"/>
    </w:rPr>
  </w:style>
  <w:style w:type="character" w:customStyle="1" w:styleId="QuoteChar">
    <w:name w:val="Quote Char"/>
    <w:basedOn w:val="DefaultParagraphFont"/>
    <w:link w:val="Quote"/>
    <w:uiPriority w:val="29"/>
    <w:rsid w:val="00AF76E5"/>
    <w:rPr>
      <w:i/>
      <w:iCs/>
      <w:color w:val="404040" w:themeColor="text1" w:themeTint="BF"/>
    </w:rPr>
  </w:style>
  <w:style w:type="paragraph" w:styleId="ListParagraph">
    <w:name w:val="List Paragraph"/>
    <w:basedOn w:val="Normal"/>
    <w:uiPriority w:val="34"/>
    <w:qFormat/>
    <w:rsid w:val="00AF76E5"/>
    <w:pPr>
      <w:ind w:left="720"/>
      <w:contextualSpacing/>
    </w:pPr>
  </w:style>
  <w:style w:type="character" w:styleId="IntenseEmphasis">
    <w:name w:val="Intense Emphasis"/>
    <w:basedOn w:val="DefaultParagraphFont"/>
    <w:uiPriority w:val="21"/>
    <w:qFormat/>
    <w:rsid w:val="00AF76E5"/>
    <w:rPr>
      <w:i/>
      <w:iCs/>
      <w:color w:val="2F5496" w:themeColor="accent1" w:themeShade="BF"/>
    </w:rPr>
  </w:style>
  <w:style w:type="paragraph" w:styleId="IntenseQuote">
    <w:name w:val="Intense Quote"/>
    <w:basedOn w:val="Normal"/>
    <w:next w:val="Normal"/>
    <w:link w:val="IntenseQuoteChar"/>
    <w:uiPriority w:val="30"/>
    <w:qFormat/>
    <w:rsid w:val="00AF76E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F76E5"/>
    <w:rPr>
      <w:i/>
      <w:iCs/>
      <w:color w:val="2F5496" w:themeColor="accent1" w:themeShade="BF"/>
    </w:rPr>
  </w:style>
  <w:style w:type="character" w:styleId="IntenseReference">
    <w:name w:val="Intense Reference"/>
    <w:basedOn w:val="DefaultParagraphFont"/>
    <w:uiPriority w:val="32"/>
    <w:qFormat/>
    <w:rsid w:val="00AF76E5"/>
    <w:rPr>
      <w:b/>
      <w:bCs/>
      <w:smallCaps/>
      <w:color w:val="2F5496" w:themeColor="accent1" w:themeShade="BF"/>
      <w:spacing w:val="5"/>
    </w:rPr>
  </w:style>
  <w:style w:type="character" w:styleId="Hyperlink">
    <w:name w:val="Hyperlink"/>
    <w:basedOn w:val="DefaultParagraphFont"/>
    <w:uiPriority w:val="99"/>
    <w:unhideWhenUsed/>
    <w:rsid w:val="00AF76E5"/>
    <w:rPr>
      <w:color w:val="0563C1" w:themeColor="hyperlink"/>
      <w:u w:val="single"/>
    </w:rPr>
  </w:style>
  <w:style w:type="character" w:styleId="UnresolvedMention">
    <w:name w:val="Unresolved Mention"/>
    <w:basedOn w:val="DefaultParagraphFont"/>
    <w:uiPriority w:val="99"/>
    <w:semiHidden/>
    <w:unhideWhenUsed/>
    <w:rsid w:val="00AF76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627</Words>
  <Characters>3576</Characters>
  <Application>Microsoft Office Word</Application>
  <DocSecurity>0</DocSecurity>
  <Lines>29</Lines>
  <Paragraphs>8</Paragraphs>
  <ScaleCrop>false</ScaleCrop>
  <Company/>
  <LinksUpToDate>false</LinksUpToDate>
  <CharactersWithSpaces>4195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Fjorda Vllasolli</dc:creator>
  <cp:keywords/>
  <dc:description/>
  <cp:lastModifiedBy>Fjorda Vllasolli</cp:lastModifiedBy>
  <cp:revision>2</cp:revision>
  <dcterms:created xsi:type="dcterms:W3CDTF">2025-10-09T07:12:00Z</dcterms:created>
  <dcterms:modified xsi:type="dcterms:W3CDTF">2025-10-09T07:21:00Z</dcterms:modified>
</cp:coreProperties>
</file>